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3F2A" w14:textId="77777777" w:rsidR="00D45FDD" w:rsidRDefault="00480B96" w:rsidP="009A5CFE">
      <w:pPr>
        <w:pStyle w:val="Nincstrkz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Kezelőorvos számára t</w:t>
      </w:r>
      <w:r w:rsidR="00D45FDD">
        <w:rPr>
          <w:b/>
          <w:sz w:val="32"/>
          <w:szCs w:val="32"/>
        </w:rPr>
        <w:t xml:space="preserve">erápiás javaslat krónikus </w:t>
      </w:r>
      <w:proofErr w:type="spellStart"/>
      <w:r w:rsidR="00D45FDD">
        <w:rPr>
          <w:b/>
          <w:sz w:val="32"/>
          <w:szCs w:val="32"/>
        </w:rPr>
        <w:t>bartonellózis</w:t>
      </w:r>
      <w:proofErr w:type="spellEnd"/>
      <w:r w:rsidR="00D45FDD">
        <w:rPr>
          <w:b/>
          <w:sz w:val="32"/>
          <w:szCs w:val="32"/>
        </w:rPr>
        <w:t xml:space="preserve"> kezelésére</w:t>
      </w:r>
    </w:p>
    <w:p w14:paraId="331413B6" w14:textId="77777777" w:rsidR="009A5CFE" w:rsidRPr="009A5CFE" w:rsidRDefault="009A5CFE" w:rsidP="009A5CFE">
      <w:pPr>
        <w:pStyle w:val="Nincstrkz"/>
        <w:jc w:val="center"/>
        <w:rPr>
          <w:b/>
          <w:sz w:val="32"/>
          <w:szCs w:val="32"/>
        </w:rPr>
      </w:pPr>
    </w:p>
    <w:p w14:paraId="244504B6" w14:textId="77777777" w:rsidR="00D45FDD" w:rsidRDefault="00D45FDD" w:rsidP="004D09FB">
      <w:pPr>
        <w:pStyle w:val="Nincstrkz"/>
        <w:rPr>
          <w:b/>
        </w:rPr>
      </w:pPr>
    </w:p>
    <w:p w14:paraId="06D27A8F" w14:textId="77777777" w:rsidR="00FB50D2" w:rsidRDefault="00FB50D2" w:rsidP="00FB50D2">
      <w:pPr>
        <w:pStyle w:val="Nincstrkz"/>
        <w:jc w:val="center"/>
        <w:rPr>
          <w:b/>
        </w:rPr>
      </w:pPr>
      <w:r w:rsidRPr="00FB50D2">
        <w:rPr>
          <w:b/>
        </w:rPr>
        <w:t>Összefoglaló</w:t>
      </w:r>
    </w:p>
    <w:p w14:paraId="53B47B84" w14:textId="77777777" w:rsidR="00FB50D2" w:rsidRPr="00FB50D2" w:rsidRDefault="00FB50D2" w:rsidP="00FB50D2">
      <w:pPr>
        <w:pStyle w:val="Nincstrkz"/>
        <w:jc w:val="center"/>
        <w:rPr>
          <w:b/>
        </w:rPr>
      </w:pPr>
    </w:p>
    <w:p w14:paraId="4DF3604D" w14:textId="77777777" w:rsidR="009A5CFE" w:rsidRPr="009A5CFE" w:rsidRDefault="009A5CFE" w:rsidP="004D09FB">
      <w:pPr>
        <w:pStyle w:val="Nincstrkz"/>
      </w:pPr>
      <w:r>
        <w:t xml:space="preserve">A </w:t>
      </w:r>
      <w:proofErr w:type="spellStart"/>
      <w:r>
        <w:t>bartonella</w:t>
      </w:r>
      <w:proofErr w:type="spellEnd"/>
      <w:r>
        <w:t xml:space="preserve"> baktérium bizonyos fajai (</w:t>
      </w:r>
      <w:proofErr w:type="spellStart"/>
      <w:r>
        <w:t>pl</w:t>
      </w:r>
      <w:proofErr w:type="spellEnd"/>
      <w:r>
        <w:t xml:space="preserve"> </w:t>
      </w:r>
      <w:proofErr w:type="spellStart"/>
      <w:r>
        <w:t>henselae</w:t>
      </w:r>
      <w:proofErr w:type="spellEnd"/>
      <w:r>
        <w:t>) gyakran békés szimbiózisban képesek az emberi szervezettel együtt élni</w:t>
      </w:r>
      <w:r w:rsidR="00A031F2">
        <w:t xml:space="preserve"> akár sok évtizeden keresztül</w:t>
      </w:r>
      <w:r>
        <w:t xml:space="preserve">, de sok más faj nagyobb virulencia faktorral rendelkezik, így bizonyos, akár időszakos </w:t>
      </w:r>
      <w:proofErr w:type="spellStart"/>
      <w:r>
        <w:t>immunszuprimált</w:t>
      </w:r>
      <w:proofErr w:type="spellEnd"/>
      <w:r>
        <w:t xml:space="preserve"> </w:t>
      </w:r>
      <w:r w:rsidR="00A031F2">
        <w:t xml:space="preserve">(tartós stressz, más fertőzés, hormonális változások, terhesség-szülés, th2 dominancia, stb.) </w:t>
      </w:r>
      <w:r>
        <w:t xml:space="preserve">állapotban az immunrendszer elveszti felette a korábbi kontrollját, és a viselkedésük erősen patogénszerűvé válik. Már egy az 1920-as években </w:t>
      </w:r>
      <w:proofErr w:type="spellStart"/>
      <w:r>
        <w:t>bartonella</w:t>
      </w:r>
      <w:proofErr w:type="spellEnd"/>
      <w:r>
        <w:t xml:space="preserve"> </w:t>
      </w:r>
      <w:proofErr w:type="spellStart"/>
      <w:r>
        <w:t>quintana</w:t>
      </w:r>
      <w:proofErr w:type="spellEnd"/>
      <w:r>
        <w:t xml:space="preserve"> irányában végzett emberkísérletek során úgy találták, hogy a megfertőzött önkéntesek 95%-a spontán felgyógyult, 5%-uk krónikussá vált, és vektoron keresztül másokra is fertőzőek maradtak. A lent felsorolt antibiotikus terápia célja lehetőség szerint a </w:t>
      </w:r>
      <w:proofErr w:type="spellStart"/>
      <w:r>
        <w:t>bartonella</w:t>
      </w:r>
      <w:proofErr w:type="spellEnd"/>
      <w:r>
        <w:t xml:space="preserve"> </w:t>
      </w:r>
      <w:proofErr w:type="spellStart"/>
      <w:r>
        <w:t>eradikációja</w:t>
      </w:r>
      <w:proofErr w:type="spellEnd"/>
      <w:r>
        <w:t>, de legalábbis számosságuk olyan mértékű csökkentése, hogy az ún</w:t>
      </w:r>
      <w:r w:rsidR="00FB50D2">
        <w:t>. bakteriális</w:t>
      </w:r>
      <w:r>
        <w:t xml:space="preserve"> „</w:t>
      </w:r>
      <w:proofErr w:type="spellStart"/>
      <w:r>
        <w:t>quorum</w:t>
      </w:r>
      <w:proofErr w:type="spellEnd"/>
      <w:r>
        <w:t xml:space="preserve"> </w:t>
      </w:r>
      <w:proofErr w:type="spellStart"/>
      <w:r>
        <w:t>sensing</w:t>
      </w:r>
      <w:proofErr w:type="spellEnd"/>
      <w:r>
        <w:t>”</w:t>
      </w:r>
      <w:r w:rsidR="00FB50D2">
        <w:t xml:space="preserve"> és az immunrendszer közötti homeosztázis helyreálljon, a betegek panaszai jelentősen csökkenjenek, vagy megszűnjenek. Javasolt a terápia hatékonyságának visszamérésére, illetve a terápia befejezésének megítélésére 3 havonta a tesztek megismétlése,</w:t>
      </w:r>
      <w:r w:rsidR="003B7124">
        <w:t xml:space="preserve"> </w:t>
      </w:r>
      <w:r w:rsidR="00FB50D2">
        <w:t xml:space="preserve">a </w:t>
      </w:r>
      <w:proofErr w:type="spellStart"/>
      <w:r w:rsidR="00FB50D2">
        <w:t>titer</w:t>
      </w:r>
      <w:proofErr w:type="spellEnd"/>
      <w:r w:rsidR="00FB50D2">
        <w:t xml:space="preserve"> értékek idősoros kiértékelése.</w:t>
      </w:r>
    </w:p>
    <w:p w14:paraId="0CC252A7" w14:textId="77777777" w:rsidR="009A5CFE" w:rsidRDefault="009A5CFE" w:rsidP="004D09FB">
      <w:pPr>
        <w:pStyle w:val="Nincstrkz"/>
        <w:rPr>
          <w:b/>
        </w:rPr>
      </w:pPr>
    </w:p>
    <w:p w14:paraId="15E97AA1" w14:textId="77777777" w:rsidR="00FB50D2" w:rsidRDefault="00FB50D2" w:rsidP="00FB50D2">
      <w:pPr>
        <w:pStyle w:val="Nincstrkz"/>
        <w:jc w:val="center"/>
        <w:rPr>
          <w:b/>
        </w:rPr>
      </w:pPr>
    </w:p>
    <w:p w14:paraId="3912418A" w14:textId="77777777" w:rsidR="00FB50D2" w:rsidRDefault="00FB50D2" w:rsidP="00FB50D2">
      <w:pPr>
        <w:pStyle w:val="Nincstrkz"/>
        <w:jc w:val="center"/>
        <w:rPr>
          <w:b/>
        </w:rPr>
      </w:pPr>
      <w:proofErr w:type="spellStart"/>
      <w:r>
        <w:rPr>
          <w:b/>
        </w:rPr>
        <w:t>Allopátiás</w:t>
      </w:r>
      <w:proofErr w:type="spellEnd"/>
      <w:r>
        <w:rPr>
          <w:b/>
        </w:rPr>
        <w:t xml:space="preserve"> gyógyszerkombináció</w:t>
      </w:r>
    </w:p>
    <w:p w14:paraId="0C6916D0" w14:textId="77777777" w:rsidR="00FB50D2" w:rsidRDefault="00FB50D2" w:rsidP="004D09FB">
      <w:pPr>
        <w:pStyle w:val="Nincstrkz"/>
        <w:rPr>
          <w:b/>
        </w:rPr>
      </w:pPr>
    </w:p>
    <w:p w14:paraId="369CEE93" w14:textId="77777777" w:rsidR="005A3843" w:rsidRPr="004D09FB" w:rsidRDefault="004D09FB" w:rsidP="004D09FB">
      <w:pPr>
        <w:pStyle w:val="Nincstrkz"/>
        <w:rPr>
          <w:b/>
        </w:rPr>
      </w:pPr>
      <w:proofErr w:type="spellStart"/>
      <w:r w:rsidRPr="004D09FB">
        <w:rPr>
          <w:b/>
        </w:rPr>
        <w:t>Clarithromycin</w:t>
      </w:r>
      <w:proofErr w:type="spellEnd"/>
    </w:p>
    <w:p w14:paraId="3D793C0B" w14:textId="77777777" w:rsidR="004D09FB" w:rsidRDefault="004D09FB" w:rsidP="004D09FB">
      <w:pPr>
        <w:pStyle w:val="Nincstrkz"/>
      </w:pPr>
      <w:r w:rsidRPr="004D09FB">
        <w:rPr>
          <w:u w:val="single"/>
        </w:rPr>
        <w:t>Szedése:</w:t>
      </w:r>
      <w:r>
        <w:t xml:space="preserve"> étkezés után közvetlenül</w:t>
      </w:r>
    </w:p>
    <w:p w14:paraId="6F014623" w14:textId="77777777" w:rsidR="004D09FB" w:rsidRDefault="004D09FB" w:rsidP="004D09FB">
      <w:pPr>
        <w:pStyle w:val="Nincstrkz"/>
      </w:pPr>
      <w:r w:rsidRPr="004D09FB">
        <w:rPr>
          <w:u w:val="single"/>
        </w:rPr>
        <w:t>Várható mellékhatások:</w:t>
      </w:r>
      <w:r>
        <w:t xml:space="preserve"> fémes szájíz eleinte, kezdéskor és dózis emeléskor átmenetileg romló alvásminőség</w:t>
      </w:r>
    </w:p>
    <w:p w14:paraId="1EECAC3F" w14:textId="77777777" w:rsidR="004D09FB" w:rsidRDefault="004D09FB" w:rsidP="004D09FB">
      <w:pPr>
        <w:pStyle w:val="Nincstrkz"/>
      </w:pPr>
      <w:r w:rsidRPr="004D09FB">
        <w:rPr>
          <w:u w:val="single"/>
        </w:rPr>
        <w:t>Hatás/</w:t>
      </w:r>
      <w:proofErr w:type="spellStart"/>
      <w:r w:rsidRPr="004D09FB">
        <w:rPr>
          <w:u w:val="single"/>
        </w:rPr>
        <w:t>Herx</w:t>
      </w:r>
      <w:proofErr w:type="spellEnd"/>
      <w:r w:rsidRPr="004D09FB">
        <w:rPr>
          <w:u w:val="single"/>
        </w:rPr>
        <w:t>:</w:t>
      </w:r>
      <w:r>
        <w:t xml:space="preserve"> Gyulladás csökkentő, adrenalin szint növelő, ugrásszerű állapotjavulást okoz, </w:t>
      </w:r>
      <w:proofErr w:type="spellStart"/>
      <w:r>
        <w:t>herx</w:t>
      </w:r>
      <w:proofErr w:type="spellEnd"/>
      <w:r>
        <w:t xml:space="preserve"> nem jellemző</w:t>
      </w:r>
    </w:p>
    <w:p w14:paraId="7898A65B" w14:textId="77777777" w:rsidR="004D09FB" w:rsidRDefault="004D09FB" w:rsidP="004D09FB">
      <w:pPr>
        <w:pStyle w:val="Nincstrkz"/>
      </w:pPr>
    </w:p>
    <w:p w14:paraId="1332D71D" w14:textId="77777777" w:rsidR="004D09FB" w:rsidRPr="004D09FB" w:rsidRDefault="004D09FB" w:rsidP="004D09FB">
      <w:pPr>
        <w:pStyle w:val="Nincstrkz"/>
        <w:rPr>
          <w:b/>
        </w:rPr>
      </w:pPr>
      <w:proofErr w:type="spellStart"/>
      <w:r>
        <w:rPr>
          <w:b/>
        </w:rPr>
        <w:t>Probiotics</w:t>
      </w:r>
      <w:proofErr w:type="spellEnd"/>
    </w:p>
    <w:p w14:paraId="2073364C" w14:textId="77777777" w:rsidR="004D09FB" w:rsidRDefault="004D09FB" w:rsidP="004D09FB">
      <w:pPr>
        <w:pStyle w:val="Nincstrkz"/>
      </w:pPr>
      <w:r w:rsidRPr="004D09FB">
        <w:rPr>
          <w:u w:val="single"/>
        </w:rPr>
        <w:t>Szedése:</w:t>
      </w:r>
      <w:r>
        <w:t xml:space="preserve"> jó </w:t>
      </w:r>
      <w:proofErr w:type="spellStart"/>
      <w:r>
        <w:t>minőségú</w:t>
      </w:r>
      <w:proofErr w:type="spellEnd"/>
      <w:r>
        <w:t>, de NEM antibiotikumra rezisztenssé tett (</w:t>
      </w:r>
      <w:proofErr w:type="spellStart"/>
      <w:r>
        <w:t>pl</w:t>
      </w:r>
      <w:proofErr w:type="spellEnd"/>
      <w:r>
        <w:t xml:space="preserve"> </w:t>
      </w:r>
      <w:proofErr w:type="spellStart"/>
      <w:r>
        <w:t>Normix</w:t>
      </w:r>
      <w:proofErr w:type="spellEnd"/>
      <w:r>
        <w:t xml:space="preserve"> kerülendő) törzseket tartalmaz, </w:t>
      </w:r>
      <w:proofErr w:type="spellStart"/>
      <w:r>
        <w:t>pl</w:t>
      </w:r>
      <w:proofErr w:type="spellEnd"/>
      <w:r>
        <w:t xml:space="preserve"> </w:t>
      </w:r>
      <w:proofErr w:type="spellStart"/>
      <w:r>
        <w:t>Progastro</w:t>
      </w:r>
      <w:proofErr w:type="spellEnd"/>
      <w:r>
        <w:t xml:space="preserve"> 825 vagy VSL#3</w:t>
      </w:r>
    </w:p>
    <w:p w14:paraId="7EF6D560" w14:textId="77777777" w:rsidR="004D09FB" w:rsidRDefault="004D09FB" w:rsidP="004D09FB">
      <w:pPr>
        <w:pStyle w:val="Nincstrkz"/>
      </w:pPr>
      <w:r w:rsidRPr="004D09FB">
        <w:rPr>
          <w:u w:val="single"/>
        </w:rPr>
        <w:t>Várható mellékhatások:</w:t>
      </w:r>
      <w:r>
        <w:t xml:space="preserve"> nincs</w:t>
      </w:r>
    </w:p>
    <w:p w14:paraId="5E64C6EC" w14:textId="77777777" w:rsidR="004D09FB" w:rsidRDefault="004D09FB" w:rsidP="004D09FB">
      <w:pPr>
        <w:pStyle w:val="Nincstrkz"/>
      </w:pPr>
      <w:r w:rsidRPr="004D09FB">
        <w:rPr>
          <w:u w:val="single"/>
        </w:rPr>
        <w:t>Hatás/</w:t>
      </w:r>
      <w:proofErr w:type="spellStart"/>
      <w:proofErr w:type="gramStart"/>
      <w:r w:rsidRPr="004D09FB">
        <w:rPr>
          <w:u w:val="single"/>
        </w:rPr>
        <w:t>Herx</w:t>
      </w:r>
      <w:proofErr w:type="spellEnd"/>
      <w:r w:rsidRPr="004D09FB">
        <w:rPr>
          <w:u w:val="single"/>
        </w:rPr>
        <w:t>:</w:t>
      </w:r>
      <w:r>
        <w:t xml:space="preserve">  nincs</w:t>
      </w:r>
      <w:proofErr w:type="gramEnd"/>
    </w:p>
    <w:p w14:paraId="5B304019" w14:textId="77777777" w:rsidR="004D09FB" w:rsidRDefault="004D09FB" w:rsidP="004D09FB">
      <w:pPr>
        <w:pStyle w:val="Nincstrkz"/>
      </w:pPr>
    </w:p>
    <w:p w14:paraId="6517DC4A" w14:textId="77777777" w:rsidR="004D09FB" w:rsidRPr="004D09FB" w:rsidRDefault="004D09FB" w:rsidP="004D09FB">
      <w:pPr>
        <w:pStyle w:val="Nincstrkz"/>
        <w:rPr>
          <w:b/>
        </w:rPr>
      </w:pPr>
      <w:proofErr w:type="spellStart"/>
      <w:r>
        <w:rPr>
          <w:b/>
        </w:rPr>
        <w:t>Rifampin</w:t>
      </w:r>
      <w:proofErr w:type="spellEnd"/>
    </w:p>
    <w:p w14:paraId="5F6B0196" w14:textId="77777777" w:rsidR="004D09FB" w:rsidRDefault="004D09FB" w:rsidP="004D09FB">
      <w:pPr>
        <w:pStyle w:val="Nincstrkz"/>
      </w:pPr>
      <w:r w:rsidRPr="004D09FB">
        <w:rPr>
          <w:u w:val="single"/>
        </w:rPr>
        <w:t>Szedése:</w:t>
      </w:r>
      <w:r>
        <w:t xml:space="preserve"> étkezés </w:t>
      </w:r>
      <w:r w:rsidR="00315F97">
        <w:t xml:space="preserve">előtt </w:t>
      </w:r>
      <w:r w:rsidR="00FB50D2">
        <w:t>fél órával éhgyomorra.</w:t>
      </w:r>
    </w:p>
    <w:p w14:paraId="2728B741" w14:textId="77777777" w:rsidR="004D09FB" w:rsidRDefault="004D09FB" w:rsidP="004D09FB">
      <w:pPr>
        <w:pStyle w:val="Nincstrkz"/>
      </w:pPr>
      <w:r w:rsidRPr="004D09FB">
        <w:rPr>
          <w:u w:val="single"/>
        </w:rPr>
        <w:t>Várható mellékhatások:</w:t>
      </w:r>
      <w:r>
        <w:t xml:space="preserve"> Eleinte csökkenő vizelet</w:t>
      </w:r>
      <w:r w:rsidR="000D7A2C">
        <w:t>ü</w:t>
      </w:r>
      <w:r>
        <w:t>r</w:t>
      </w:r>
      <w:r w:rsidR="000D7A2C">
        <w:t>í</w:t>
      </w:r>
      <w:r>
        <w:t>tés</w:t>
      </w:r>
      <w:r w:rsidR="000D7A2C">
        <w:t>, sárgás/narancssárgás vizelet, széklet és egyéb testváladékok.</w:t>
      </w:r>
      <w:r w:rsidR="0072169F">
        <w:t xml:space="preserve"> D-vitamin, adrenalin és PM hormon hiányállapotokat idéz elő pár hét után</w:t>
      </w:r>
    </w:p>
    <w:p w14:paraId="600AF155" w14:textId="77777777" w:rsidR="004D09FB" w:rsidRDefault="004D09FB" w:rsidP="004D09FB">
      <w:pPr>
        <w:pStyle w:val="Nincstrkz"/>
      </w:pPr>
      <w:r w:rsidRPr="004D09FB">
        <w:rPr>
          <w:u w:val="single"/>
        </w:rPr>
        <w:lastRenderedPageBreak/>
        <w:t>Hatás/</w:t>
      </w:r>
      <w:proofErr w:type="spellStart"/>
      <w:r w:rsidRPr="004D09FB">
        <w:rPr>
          <w:u w:val="single"/>
        </w:rPr>
        <w:t>Herx</w:t>
      </w:r>
      <w:proofErr w:type="spellEnd"/>
      <w:r w:rsidRPr="004D09FB">
        <w:rPr>
          <w:u w:val="single"/>
        </w:rPr>
        <w:t>:</w:t>
      </w:r>
      <w:r>
        <w:t xml:space="preserve"> </w:t>
      </w:r>
      <w:r w:rsidR="0072169F">
        <w:t xml:space="preserve">Periodikus </w:t>
      </w:r>
      <w:proofErr w:type="spellStart"/>
      <w:r w:rsidR="0072169F">
        <w:t>herx</w:t>
      </w:r>
      <w:proofErr w:type="spellEnd"/>
      <w:r w:rsidR="0072169F">
        <w:t xml:space="preserve"> lassú állapotjavulás mellett. GOT/GPT/GGT értékek átmeneti romlása akár a felső határ 2-3-szoros értékéig. Ez azt jelenti, hogy a máj is fertőzött, és a </w:t>
      </w:r>
      <w:proofErr w:type="spellStart"/>
      <w:r w:rsidR="0072169F">
        <w:t>patogének</w:t>
      </w:r>
      <w:proofErr w:type="spellEnd"/>
      <w:r w:rsidR="0072169F">
        <w:t xml:space="preserve"> pusztulása gyulladást idéz elő. Rendszeres vérkép monitorozást igényel.</w:t>
      </w:r>
      <w:r w:rsidR="005D6712">
        <w:t xml:space="preserve"> </w:t>
      </w:r>
      <w:proofErr w:type="spellStart"/>
      <w:r w:rsidR="005D6712">
        <w:t>Rifampin</w:t>
      </w:r>
      <w:proofErr w:type="spellEnd"/>
      <w:r w:rsidR="005D6712">
        <w:t xml:space="preserve"> szedésének megszakítását lehetőség szerint kerülni kell, túlzott </w:t>
      </w:r>
      <w:proofErr w:type="spellStart"/>
      <w:r w:rsidR="005D6712">
        <w:t>herx</w:t>
      </w:r>
      <w:proofErr w:type="spellEnd"/>
      <w:r w:rsidR="005D6712">
        <w:t xml:space="preserve"> esetén is inkább csak dózist szabad csökkenteni. Többszöri megszakítás-újrakezdés esetén nem kívánatos immun-komplexek alakulhatnak ki a </w:t>
      </w:r>
      <w:proofErr w:type="spellStart"/>
      <w:r w:rsidR="005D6712">
        <w:t>rifampin</w:t>
      </w:r>
      <w:proofErr w:type="spellEnd"/>
      <w:r w:rsidR="005D6712">
        <w:t xml:space="preserve"> hatóanyagára azt hatástalanná téve, és egyéb mellékhatások is jelentkezhetnek.</w:t>
      </w:r>
    </w:p>
    <w:p w14:paraId="1ED936FA" w14:textId="77777777" w:rsidR="0072169F" w:rsidRDefault="0072169F" w:rsidP="004D09FB">
      <w:pPr>
        <w:pStyle w:val="Nincstrkz"/>
      </w:pPr>
    </w:p>
    <w:p w14:paraId="0E1EDA48" w14:textId="77777777" w:rsidR="00315F97" w:rsidRPr="004D09FB" w:rsidRDefault="00315F97" w:rsidP="00315F97">
      <w:pPr>
        <w:pStyle w:val="Nincstrkz"/>
        <w:rPr>
          <w:b/>
        </w:rPr>
      </w:pPr>
      <w:proofErr w:type="spellStart"/>
      <w:r>
        <w:rPr>
          <w:b/>
        </w:rPr>
        <w:t>Tinidazol</w:t>
      </w:r>
      <w:proofErr w:type="spellEnd"/>
    </w:p>
    <w:p w14:paraId="50A8BE3E" w14:textId="77777777" w:rsidR="00315F97" w:rsidRDefault="00315F97" w:rsidP="00315F97">
      <w:pPr>
        <w:pStyle w:val="Nincstrkz"/>
      </w:pPr>
      <w:r w:rsidRPr="004D09FB">
        <w:rPr>
          <w:u w:val="single"/>
        </w:rPr>
        <w:t>Szedése:</w:t>
      </w:r>
      <w:r>
        <w:t xml:space="preserve"> étkezés után közvetlenül</w:t>
      </w:r>
    </w:p>
    <w:p w14:paraId="7497324D" w14:textId="77777777" w:rsidR="00315F97" w:rsidRDefault="00315F97" w:rsidP="00315F97">
      <w:pPr>
        <w:pStyle w:val="Nincstrkz"/>
      </w:pPr>
      <w:r w:rsidRPr="004D09FB">
        <w:rPr>
          <w:u w:val="single"/>
        </w:rPr>
        <w:t>Várható mellékhatások:</w:t>
      </w:r>
      <w:r>
        <w:t xml:space="preserve"> fémes szájíz </w:t>
      </w:r>
    </w:p>
    <w:p w14:paraId="6771B5BF" w14:textId="77777777" w:rsidR="00315F97" w:rsidRDefault="00315F97" w:rsidP="00315F97">
      <w:pPr>
        <w:pStyle w:val="Nincstrkz"/>
      </w:pPr>
      <w:r w:rsidRPr="004D09FB">
        <w:rPr>
          <w:u w:val="single"/>
        </w:rPr>
        <w:t>Hatás/</w:t>
      </w:r>
      <w:proofErr w:type="spellStart"/>
      <w:r w:rsidRPr="004D09FB">
        <w:rPr>
          <w:u w:val="single"/>
        </w:rPr>
        <w:t>Herx</w:t>
      </w:r>
      <w:proofErr w:type="spellEnd"/>
      <w:r w:rsidRPr="004D09FB">
        <w:rPr>
          <w:u w:val="single"/>
        </w:rPr>
        <w:t>:</w:t>
      </w:r>
      <w:r>
        <w:t xml:space="preserve"> Szedése után 1-2 napon belül rövid ideig tartó </w:t>
      </w:r>
      <w:proofErr w:type="spellStart"/>
      <w:r>
        <w:t>herx</w:t>
      </w:r>
      <w:proofErr w:type="spellEnd"/>
      <w:r>
        <w:t xml:space="preserve"> várható.</w:t>
      </w:r>
    </w:p>
    <w:p w14:paraId="1056514F" w14:textId="77777777" w:rsidR="00315F97" w:rsidRDefault="00315F97" w:rsidP="00315F97">
      <w:pPr>
        <w:pStyle w:val="Nincstrkz"/>
      </w:pPr>
    </w:p>
    <w:p w14:paraId="5A79ECE9" w14:textId="77777777" w:rsidR="00315F97" w:rsidRPr="004D09FB" w:rsidRDefault="00315F97" w:rsidP="00315F97">
      <w:pPr>
        <w:pStyle w:val="Nincstrkz"/>
        <w:rPr>
          <w:b/>
        </w:rPr>
      </w:pPr>
      <w:proofErr w:type="spellStart"/>
      <w:r>
        <w:rPr>
          <w:b/>
        </w:rPr>
        <w:t>Allimax</w:t>
      </w:r>
      <w:proofErr w:type="spellEnd"/>
    </w:p>
    <w:p w14:paraId="12827CBE" w14:textId="77777777" w:rsidR="00315F97" w:rsidRDefault="00315F97" w:rsidP="00315F97">
      <w:pPr>
        <w:pStyle w:val="Nincstrkz"/>
      </w:pPr>
      <w:r w:rsidRPr="004D09FB">
        <w:rPr>
          <w:u w:val="single"/>
        </w:rPr>
        <w:t>Szedése:</w:t>
      </w:r>
      <w:r>
        <w:t xml:space="preserve"> étkezés után közvetlenül</w:t>
      </w:r>
    </w:p>
    <w:p w14:paraId="32F82D30" w14:textId="77777777" w:rsidR="00315F97" w:rsidRDefault="00315F97" w:rsidP="00315F97">
      <w:pPr>
        <w:pStyle w:val="Nincstrkz"/>
      </w:pPr>
      <w:r w:rsidRPr="004D09FB">
        <w:rPr>
          <w:u w:val="single"/>
        </w:rPr>
        <w:t>Várható mellékhatások:</w:t>
      </w:r>
      <w:r>
        <w:t xml:space="preserve"> </w:t>
      </w:r>
      <w:r w:rsidR="00F16617">
        <w:t>nem jellemző</w:t>
      </w:r>
    </w:p>
    <w:p w14:paraId="75EA4BB2" w14:textId="77777777" w:rsidR="00BB3790" w:rsidRDefault="00315F97" w:rsidP="00BB3790">
      <w:pPr>
        <w:pStyle w:val="Nincstrkz"/>
      </w:pPr>
      <w:r w:rsidRPr="004D09FB">
        <w:rPr>
          <w:u w:val="single"/>
        </w:rPr>
        <w:t>Hatás/</w:t>
      </w:r>
      <w:proofErr w:type="spellStart"/>
      <w:r w:rsidRPr="004D09FB">
        <w:rPr>
          <w:u w:val="single"/>
        </w:rPr>
        <w:t>Herx</w:t>
      </w:r>
      <w:proofErr w:type="spellEnd"/>
      <w:r w:rsidRPr="004D09FB">
        <w:rPr>
          <w:u w:val="single"/>
        </w:rPr>
        <w:t>:</w:t>
      </w:r>
      <w:r>
        <w:t xml:space="preserve"> </w:t>
      </w:r>
      <w:r w:rsidR="00BB3790">
        <w:t xml:space="preserve">Szedése után 1-2 napon belül rövid ideig tartó </w:t>
      </w:r>
      <w:proofErr w:type="spellStart"/>
      <w:r w:rsidR="00BB3790">
        <w:t>herx</w:t>
      </w:r>
      <w:proofErr w:type="spellEnd"/>
      <w:r w:rsidR="00BB3790">
        <w:t xml:space="preserve"> várható.</w:t>
      </w:r>
    </w:p>
    <w:p w14:paraId="3866F3E2" w14:textId="77777777" w:rsidR="00315F97" w:rsidRDefault="00315F97" w:rsidP="00315F97">
      <w:pPr>
        <w:pStyle w:val="Nincstrkz"/>
      </w:pPr>
    </w:p>
    <w:p w14:paraId="60A707A1" w14:textId="77777777" w:rsidR="00FB50D2" w:rsidRPr="00FB50D2" w:rsidRDefault="002B20AE" w:rsidP="00FB50D2">
      <w:pPr>
        <w:pStyle w:val="Nincstrkz"/>
        <w:rPr>
          <w:b/>
        </w:rPr>
      </w:pPr>
      <w:proofErr w:type="spellStart"/>
      <w:r w:rsidRPr="00FB50D2">
        <w:rPr>
          <w:b/>
        </w:rPr>
        <w:t>Hydrocortisone</w:t>
      </w:r>
      <w:proofErr w:type="spellEnd"/>
    </w:p>
    <w:p w14:paraId="02DCA63A" w14:textId="77777777" w:rsidR="002B20AE" w:rsidRPr="00FB50D2" w:rsidRDefault="002B20AE" w:rsidP="00FB50D2">
      <w:pPr>
        <w:pStyle w:val="Nincstrkz"/>
      </w:pPr>
      <w:r w:rsidRPr="004D09FB">
        <w:rPr>
          <w:u w:val="single"/>
        </w:rPr>
        <w:t>Szedése:</w:t>
      </w:r>
      <w:r>
        <w:t xml:space="preserve"> étkezés után közvetlenül</w:t>
      </w:r>
    </w:p>
    <w:p w14:paraId="65E1A069" w14:textId="77777777" w:rsidR="002B20AE" w:rsidRDefault="002B20AE" w:rsidP="00FB50D2">
      <w:pPr>
        <w:pStyle w:val="Nincstrkz"/>
      </w:pPr>
      <w:r w:rsidRPr="004D09FB">
        <w:rPr>
          <w:u w:val="single"/>
        </w:rPr>
        <w:t>Várható mellékhatások:</w:t>
      </w:r>
      <w:r>
        <w:t xml:space="preserve"> súlygyarapodás</w:t>
      </w:r>
    </w:p>
    <w:p w14:paraId="1BD3D5D5" w14:textId="77777777" w:rsidR="002B20AE" w:rsidRDefault="002B20AE" w:rsidP="00FB50D2">
      <w:pPr>
        <w:pStyle w:val="Nincstrkz"/>
      </w:pPr>
      <w:r w:rsidRPr="004D09FB">
        <w:rPr>
          <w:u w:val="single"/>
        </w:rPr>
        <w:t>Hatás/</w:t>
      </w:r>
      <w:proofErr w:type="spellStart"/>
      <w:r w:rsidRPr="004D09FB">
        <w:rPr>
          <w:u w:val="single"/>
        </w:rPr>
        <w:t>Herx</w:t>
      </w:r>
      <w:proofErr w:type="spellEnd"/>
      <w:r w:rsidRPr="004D09FB">
        <w:rPr>
          <w:u w:val="single"/>
        </w:rPr>
        <w:t>:</w:t>
      </w:r>
      <w:r>
        <w:t xml:space="preserve"> Délutáni energiaszint javul, alvásminőség javulhat, </w:t>
      </w:r>
      <w:proofErr w:type="spellStart"/>
      <w:r>
        <w:t>herx</w:t>
      </w:r>
      <w:proofErr w:type="spellEnd"/>
      <w:r>
        <w:t xml:space="preserve"> nincs</w:t>
      </w:r>
    </w:p>
    <w:p w14:paraId="28BF1643" w14:textId="77777777" w:rsidR="000B023C" w:rsidRDefault="000B023C" w:rsidP="002B20AE">
      <w:pPr>
        <w:pStyle w:val="Nincstrkz"/>
      </w:pPr>
    </w:p>
    <w:p w14:paraId="45C5BF90" w14:textId="77777777" w:rsidR="000B023C" w:rsidRDefault="000B023C"/>
    <w:tbl>
      <w:tblPr>
        <w:tblW w:w="1368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280"/>
        <w:gridCol w:w="1680"/>
        <w:gridCol w:w="1680"/>
        <w:gridCol w:w="1680"/>
        <w:gridCol w:w="1680"/>
        <w:gridCol w:w="1680"/>
        <w:gridCol w:w="1680"/>
        <w:gridCol w:w="1680"/>
      </w:tblGrid>
      <w:tr w:rsidR="000B023C" w:rsidRPr="000B023C" w14:paraId="0E2B334C" w14:textId="77777777" w:rsidTr="000B023C">
        <w:trPr>
          <w:trHeight w:val="29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2CC21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Weeks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DFF8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Time of </w:t>
            </w: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the</w:t>
            </w:r>
            <w:proofErr w:type="spellEnd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FD8D1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Monday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DCBC6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Tuesday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F62E5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Wednesday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19753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Thursday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72478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Friday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ED6D9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Saturday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C53912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Sunday</w:t>
            </w:r>
          </w:p>
        </w:tc>
      </w:tr>
      <w:tr w:rsidR="000B023C" w:rsidRPr="000B023C" w14:paraId="62B91472" w14:textId="77777777" w:rsidTr="000B023C">
        <w:trPr>
          <w:trHeight w:val="29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B903A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B8BB9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01645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48C8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F957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5FD8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CE5B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3548A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30870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</w:tr>
      <w:tr w:rsidR="000B023C" w:rsidRPr="000B023C" w14:paraId="37D175FC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51B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701A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7217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BC665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EFEB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6E3D3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E800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276B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C1331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0B023C" w:rsidRPr="000B023C" w14:paraId="64FF2A1B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17B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2B92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5AF6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7295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0A7C9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9D83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779B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41D0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2A189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012C9670" w14:textId="77777777" w:rsidTr="000B023C">
        <w:trPr>
          <w:trHeight w:val="29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FF3D4E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DF979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1C7C69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81B3C9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7F0589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83ED6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38548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60E8D8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758B53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</w:tr>
      <w:tr w:rsidR="000B023C" w:rsidRPr="000B023C" w14:paraId="45ADB16E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F48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1958A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69FF8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57DAB5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23D68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6E9E2F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5B5FDF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1DCE8E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2DF257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774C9C11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A95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788FE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C352D9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F23CFA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BE3126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1463BE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E7607F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11CFEF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06D972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</w:tr>
      <w:tr w:rsidR="000B023C" w:rsidRPr="000B023C" w14:paraId="7BBFCEB0" w14:textId="77777777" w:rsidTr="000B023C">
        <w:trPr>
          <w:trHeight w:val="29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C1D67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D0E18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69654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EBE6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AD04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423D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70650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0503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71972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4AE8B6A7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1FE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F91B4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9895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731D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0C1E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B93D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429B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09C8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EC0F0F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0319EBC3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01C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60D3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58E2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A8D1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2748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D577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0D30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BD3B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945BAB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250</w:t>
            </w:r>
          </w:p>
        </w:tc>
      </w:tr>
      <w:tr w:rsidR="000B023C" w:rsidRPr="000B023C" w14:paraId="52D41910" w14:textId="77777777" w:rsidTr="000B023C">
        <w:trPr>
          <w:trHeight w:val="29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763823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54553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C55AF7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E39409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6F00C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E7E713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3C951E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D57AA0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7221D8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3E3C28A1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642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59619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F00EE5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1C534D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588C16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71113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EAF5C8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87D7B3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0EBB99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405258A1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809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25852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72615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C0D329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15A27C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AB549E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7E1BEE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65411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97DF5F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6AE989B9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1EE60A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BE76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98FEC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7235F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8DF8C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8D201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15D91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3732E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FA8D46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 mg</w:t>
            </w:r>
          </w:p>
        </w:tc>
      </w:tr>
      <w:tr w:rsidR="000B023C" w:rsidRPr="000B023C" w14:paraId="63141AA9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664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1BD8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1016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6F444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A2CC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5C7B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BB41A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331F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2F7E7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41B4C4CB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A76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D5E46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6F51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45DD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6225E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4EC5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FC25F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4861F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2E2612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1E6D0839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EE741E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E9819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51E07E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C22E92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257B07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919DEF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08C38E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E6F90B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4910A3E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3DF29FEC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3FB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6DEA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AA8477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4CB87D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F2604A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8CC56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37D87E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1D3D5C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6BD0EE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20A528C6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3F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4E922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548E65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8B85B3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390F44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AF7F55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58C41F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0CB19C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7AA82BC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22F80851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9EA8D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480D0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2864F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B5292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F8681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BE8A5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CEA7E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0B9FC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EFDA03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02462806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6F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A2C1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9C22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59FF3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A027B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139D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B44E7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32D38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EA4AD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77C611C1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22B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9239E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C3E34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F1FF0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3D1247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70547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659A1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D5796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99EAFA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4D382C5F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A402C4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0AD12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107791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6BE88E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697F73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EF4C4C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F2D525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8BDBEB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624A089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07926FEB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61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5B91E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EF9161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4D0917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06A90A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33B1BB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DA35AA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ED8B05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9F1AD4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77CC4AA5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310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51F59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44895F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FAD665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A3AFF8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468B5A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00EA86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D60641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55ECC84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5D6CEE3D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5889A2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5090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594C0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C5AE1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B549A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D7719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2CC91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2AD25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9D437C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2C62109D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A4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EC6AD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CA5FB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5D0A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1ADB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14D2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9693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66EF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2B1F7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53267EBD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135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7460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1553D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3DC01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FEDE3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9EBB3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82114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DD2C1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5F0D4F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32D3CE9F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D8FA4C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06DCB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B4E780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C5E8D3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5B479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D5A3C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8F8C6D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AEFD1E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7D54A1E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5898E4A6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6A2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B6289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D3FEFF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8E5AFA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E91244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12902D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D5DFC0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99A1B7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81C814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49DE6E85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C4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E13AA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E94A65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7BE008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F26A88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91C6EC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2D2AE6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77A2ED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5562C9A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10A56255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2CB44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7CDF9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99C53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2FE5B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8D48D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2F6CD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704C8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35972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3F3F25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042591D7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F1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7CEA2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ED1B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088F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33A2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A677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EE22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F6709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4A582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05935F90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BC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C884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E5EF3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16EF1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DF249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8B898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27BD4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94762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486771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5328C4D5" w14:textId="77777777" w:rsidTr="000B023C">
        <w:trPr>
          <w:trHeight w:val="9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C5D642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B9454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7A330B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A92079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F39535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540033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3C7DBB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5452F6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4A37A10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</w:tr>
      <w:tr w:rsidR="000B023C" w:rsidRPr="000B023C" w14:paraId="4DB76309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09E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CDAE2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A9FCF7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FE6B6E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103E8B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E0315F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76F412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22388D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845ED9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203AFDCE" w14:textId="77777777" w:rsidTr="000B023C">
        <w:trPr>
          <w:trHeight w:val="4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32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3B163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FCF55A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014D6A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A7CBF3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EC0209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BAFB7A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F26018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70163D4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</w:tr>
      <w:tr w:rsidR="000B023C" w:rsidRPr="000B023C" w14:paraId="022495E4" w14:textId="77777777" w:rsidTr="000B023C">
        <w:trPr>
          <w:trHeight w:val="121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7964A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D4F2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93575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89ED2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5C07D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A5F46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9D4AA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46274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A5DF8F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3FF69538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90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DBAFE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6EF4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74F6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D70D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DD25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A902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9AF8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F02CE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668BFC16" w14:textId="77777777" w:rsidTr="000B023C">
        <w:trPr>
          <w:trHeight w:val="7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B3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6A2AE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FD944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2D200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32C95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63FBA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BA341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6C80C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A958E9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720F1D8F" w14:textId="77777777" w:rsidTr="000B023C">
        <w:trPr>
          <w:trHeight w:val="121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2D1E7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4B52B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3B0775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3DE338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E6C428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A40DF2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BDB84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A5459B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210258A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35C2EDA2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E79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D97FD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8093C1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553C71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0919F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36E2F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6ACFDD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592BCC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96012E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557BA8BD" w14:textId="77777777" w:rsidTr="000B023C">
        <w:trPr>
          <w:trHeight w:val="7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2A0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10480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DA712B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D8529A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89CCB1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27BA6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9279A4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F555B0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2890C8F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72CEBF96" w14:textId="77777777" w:rsidTr="000B023C">
        <w:trPr>
          <w:trHeight w:val="121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54D28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D999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AB5B6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DE54C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68739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278BB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281B9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B6379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9801C6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3F3F500F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C1D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0778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6082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748A1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1F20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F3C4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8570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0266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4D017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25965FB3" w14:textId="77777777" w:rsidTr="000B023C">
        <w:trPr>
          <w:trHeight w:val="7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310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7E03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A234C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CFFEC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6EDB0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D4C214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2657B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8013C7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279614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62E46554" w14:textId="77777777" w:rsidTr="000B023C">
        <w:trPr>
          <w:trHeight w:val="121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E22D9F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CED3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Morning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9249F7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D0634D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22677D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8D1766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6B8702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CB3C2D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1745915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600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Hydrocortisone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10 mg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0739E5E5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03B5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C1E4D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Mid-</w:t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day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575747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601909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5157DE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48CAAFC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388871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7B3A62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1FAA28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Probiotics</w:t>
            </w:r>
            <w:proofErr w:type="spellEnd"/>
          </w:p>
        </w:tc>
      </w:tr>
      <w:tr w:rsidR="000B023C" w:rsidRPr="000B023C" w14:paraId="7D7B2927" w14:textId="77777777" w:rsidTr="000B023C">
        <w:trPr>
          <w:trHeight w:val="74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5354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4A6A6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Evening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0E1F9F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83F6A2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3D8F3F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514771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D28985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9687721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Allimax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1 tabletta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27AEF1B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Rifampin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300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Clarithromycin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</w:t>
            </w:r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Tinidazol</w:t>
            </w:r>
            <w:proofErr w:type="spellEnd"/>
            <w:r w:rsidRPr="000B02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 xml:space="preserve"> 500mg</w:t>
            </w:r>
          </w:p>
        </w:tc>
      </w:tr>
      <w:tr w:rsidR="000B023C" w:rsidRPr="000B023C" w14:paraId="179DCB3F" w14:textId="77777777" w:rsidTr="000B023C">
        <w:trPr>
          <w:trHeight w:val="290"/>
        </w:trPr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828" w14:textId="77777777" w:rsidR="000B023C" w:rsidRPr="000B023C" w:rsidRDefault="000B023C" w:rsidP="000B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4A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DCFA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48D6A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2017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D40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E70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4F2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B522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B023C" w:rsidRPr="000B023C" w14:paraId="50E3E7E8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AE6F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240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4A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2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A57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99D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D3BF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F35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503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B023C" w:rsidRPr="000B023C" w14:paraId="4A898B4D" w14:textId="77777777" w:rsidTr="000B023C">
        <w:trPr>
          <w:trHeight w:val="290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4834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606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D5BE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0B16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21B39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4813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F02B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297B5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DEC8" w14:textId="77777777" w:rsidR="000B023C" w:rsidRPr="000B023C" w:rsidRDefault="000B023C" w:rsidP="000B0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19B1F180" w14:textId="77777777" w:rsidR="004D09FB" w:rsidRDefault="004D09FB" w:rsidP="004D09FB">
      <w:pPr>
        <w:pStyle w:val="Nincstrkz"/>
      </w:pPr>
    </w:p>
    <w:sectPr w:rsidR="004D09FB" w:rsidSect="000B023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1EBB" w14:textId="77777777" w:rsidR="00320DCC" w:rsidRDefault="00320DCC" w:rsidP="003B7124">
      <w:pPr>
        <w:spacing w:after="0" w:line="240" w:lineRule="auto"/>
      </w:pPr>
      <w:r>
        <w:separator/>
      </w:r>
    </w:p>
  </w:endnote>
  <w:endnote w:type="continuationSeparator" w:id="0">
    <w:p w14:paraId="53DDFBEC" w14:textId="77777777" w:rsidR="00320DCC" w:rsidRDefault="00320DCC" w:rsidP="003B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FDE5" w14:textId="77777777" w:rsidR="00AB24E7" w:rsidRDefault="00AB24E7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32FDE">
      <w:rPr>
        <w:rFonts w:asciiTheme="majorHAnsi" w:hAnsiTheme="majorHAnsi" w:cstheme="minorHAnsi"/>
        <w:sz w:val="18"/>
      </w:rPr>
      <w:t>Jelen dokumentumban foglalt terápiás javaslat az Ön kezelőorvosa számára készült megfontolás céljából, mint a betegség egy lehetséges kezelése. A terápiát orvosának utasítása és felügyelete nélkül TILOS elkezdenie, jelen dokumentum átadása nem minősül a terápia elkezdésére bíztató ráutaló magatartásnak. Ezen dokumentum szerzője és kezelője (átadója) semmiféle felelősséget nem vállal annak tartamáért, a terápiás javaslat hatékonyságáért vagy esetleg nem kívánatos mellékhatásaiért.</w:t>
    </w:r>
    <w:r w:rsidRPr="00632FDE">
      <w:rPr>
        <w:rFonts w:asciiTheme="majorHAnsi" w:hAnsiTheme="majorHAnsi" w:cstheme="minorHAnsi"/>
        <w:sz w:val="18"/>
      </w:rPr>
      <w:ptab w:relativeTo="margin" w:alignment="right" w:leader="none"/>
    </w:r>
    <w:r>
      <w:rPr>
        <w:rFonts w:asciiTheme="majorHAnsi" w:hAnsiTheme="majorHAnsi"/>
      </w:rPr>
      <w:t xml:space="preserve">oldal </w: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FA6CC1" w:rsidRPr="00FA6CC1">
      <w:rPr>
        <w:rFonts w:asciiTheme="majorHAnsi" w:hAnsiTheme="majorHAnsi"/>
        <w:noProof/>
      </w:rPr>
      <w:t>2</w:t>
    </w:r>
    <w:r w:rsidR="00000000">
      <w:rPr>
        <w:rFonts w:asciiTheme="majorHAnsi" w:hAnsiTheme="majorHAnsi"/>
        <w:noProof/>
      </w:rPr>
      <w:fldChar w:fldCharType="end"/>
    </w:r>
  </w:p>
  <w:p w14:paraId="18C82E68" w14:textId="77777777" w:rsidR="00AB24E7" w:rsidRDefault="00AB24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F821" w14:textId="77777777" w:rsidR="00320DCC" w:rsidRDefault="00320DCC" w:rsidP="003B7124">
      <w:pPr>
        <w:spacing w:after="0" w:line="240" w:lineRule="auto"/>
      </w:pPr>
      <w:r>
        <w:separator/>
      </w:r>
    </w:p>
  </w:footnote>
  <w:footnote w:type="continuationSeparator" w:id="0">
    <w:p w14:paraId="083F9088" w14:textId="77777777" w:rsidR="00320DCC" w:rsidRDefault="00320DCC" w:rsidP="003B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1DDA" w14:textId="77777777" w:rsidR="00AB24E7" w:rsidRDefault="00AB24E7" w:rsidP="003B7124">
    <w:pPr>
      <w:pStyle w:val="lfej"/>
      <w:jc w:val="center"/>
    </w:pPr>
    <w:proofErr w:type="spellStart"/>
    <w:r>
      <w:t>Rare</w:t>
    </w:r>
    <w:proofErr w:type="spellEnd"/>
    <w:r>
      <w:t xml:space="preserve"> </w:t>
    </w:r>
    <w:proofErr w:type="spellStart"/>
    <w:r>
      <w:t>Diseases</w:t>
    </w:r>
    <w:proofErr w:type="spellEnd"/>
    <w:r>
      <w:t xml:space="preserve"> </w:t>
    </w:r>
    <w:proofErr w:type="spellStart"/>
    <w:r>
      <w:t>Labs</w:t>
    </w:r>
    <w:proofErr w:type="spellEnd"/>
    <w:r>
      <w:t xml:space="preserve"> - Hungary</w:t>
    </w:r>
  </w:p>
  <w:p w14:paraId="1439159B" w14:textId="77777777" w:rsidR="00AB24E7" w:rsidRDefault="00AB24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FB"/>
    <w:rsid w:val="000B023C"/>
    <w:rsid w:val="000D7A2C"/>
    <w:rsid w:val="002B20AE"/>
    <w:rsid w:val="002B4A10"/>
    <w:rsid w:val="00315F97"/>
    <w:rsid w:val="00320DCC"/>
    <w:rsid w:val="00340FB8"/>
    <w:rsid w:val="003B7124"/>
    <w:rsid w:val="00480B96"/>
    <w:rsid w:val="004D09FB"/>
    <w:rsid w:val="005763B8"/>
    <w:rsid w:val="00594528"/>
    <w:rsid w:val="005A3843"/>
    <w:rsid w:val="005D6712"/>
    <w:rsid w:val="0061764A"/>
    <w:rsid w:val="00632FDE"/>
    <w:rsid w:val="0067740F"/>
    <w:rsid w:val="00711740"/>
    <w:rsid w:val="0072169F"/>
    <w:rsid w:val="007972F6"/>
    <w:rsid w:val="007A5801"/>
    <w:rsid w:val="009A5CFE"/>
    <w:rsid w:val="00A031F2"/>
    <w:rsid w:val="00AB24E7"/>
    <w:rsid w:val="00B04747"/>
    <w:rsid w:val="00BB24A5"/>
    <w:rsid w:val="00BB3790"/>
    <w:rsid w:val="00C478E9"/>
    <w:rsid w:val="00C55631"/>
    <w:rsid w:val="00CD2D0C"/>
    <w:rsid w:val="00D45FDD"/>
    <w:rsid w:val="00E4107C"/>
    <w:rsid w:val="00F16617"/>
    <w:rsid w:val="00FA6CC1"/>
    <w:rsid w:val="00FB436B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5352"/>
  <w15:docId w15:val="{EE9CFD2C-1DB5-4B49-B42B-09703598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38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D09F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7124"/>
  </w:style>
  <w:style w:type="paragraph" w:styleId="llb">
    <w:name w:val="footer"/>
    <w:basedOn w:val="Norml"/>
    <w:link w:val="llbChar"/>
    <w:uiPriority w:val="99"/>
    <w:unhideWhenUsed/>
    <w:rsid w:val="003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124"/>
  </w:style>
  <w:style w:type="paragraph" w:styleId="Buborkszveg">
    <w:name w:val="Balloon Text"/>
    <w:basedOn w:val="Norml"/>
    <w:link w:val="BuborkszvegChar"/>
    <w:uiPriority w:val="99"/>
    <w:semiHidden/>
    <w:unhideWhenUsed/>
    <w:rsid w:val="003B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Kriszta Szakacs</cp:lastModifiedBy>
  <cp:revision>2</cp:revision>
  <dcterms:created xsi:type="dcterms:W3CDTF">2022-08-10T14:24:00Z</dcterms:created>
  <dcterms:modified xsi:type="dcterms:W3CDTF">2022-08-10T14:24:00Z</dcterms:modified>
</cp:coreProperties>
</file>